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AC" w:rsidRPr="00D475AC" w:rsidRDefault="00D475AC" w:rsidP="00D475AC">
      <w:pPr>
        <w:shd w:val="clear" w:color="auto" w:fill="FFFFFF"/>
        <w:spacing w:after="0" w:line="240" w:lineRule="auto"/>
        <w:jc w:val="both"/>
        <w:rPr>
          <w:rFonts w:ascii="Verdana" w:eastAsia="Times New Roman" w:hAnsi="Verdana" w:cs="Times New Roman"/>
        </w:rPr>
      </w:pPr>
      <w:r w:rsidRPr="00D475AC">
        <w:rPr>
          <w:rFonts w:ascii="Verdana" w:eastAsia="Times New Roman" w:hAnsi="Verdana" w:cs="Times New Roman"/>
          <w:b/>
          <w:bCs/>
          <w:sz w:val="26"/>
          <w:szCs w:val="26"/>
        </w:rPr>
        <w:t xml:space="preserve">ORDIN nr. 4326 din 22 mai 2020 pentru completarea Metodologiei de organizare şi desfăşurare a admiterii în învăţământul profesional de stat, aprobată prin Ordinul ministrului educaţiei naţionale şi cercetării ştiinţifice nr. </w:t>
      </w:r>
      <w:hyperlink r:id="rId5" w:history="1">
        <w:r w:rsidRPr="00D475AC">
          <w:rPr>
            <w:rFonts w:ascii="Verdana" w:eastAsia="Times New Roman" w:hAnsi="Verdana" w:cs="Times New Roman"/>
            <w:b/>
            <w:bCs/>
            <w:color w:val="333399"/>
            <w:sz w:val="26"/>
            <w:szCs w:val="26"/>
            <w:u w:val="single"/>
          </w:rPr>
          <w:t>5.068/2016</w:t>
        </w:r>
      </w:hyperlink>
      <w:r w:rsidRPr="00D475AC">
        <w:rPr>
          <w:rFonts w:ascii="Verdana" w:eastAsia="Times New Roman" w:hAnsi="Verdana" w:cs="Times New Roman"/>
          <w:b/>
          <w:bCs/>
          <w:sz w:val="26"/>
          <w:szCs w:val="26"/>
        </w:rPr>
        <w:t>, pentru anul şcolar 2020-2021</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0" w:name="do|pa1"/>
      <w:bookmarkEnd w:id="0"/>
      <w:r w:rsidRPr="00D475AC">
        <w:rPr>
          <w:rFonts w:ascii="Verdana" w:eastAsia="Times New Roman" w:hAnsi="Verdana" w:cs="Times New Roman"/>
        </w:rPr>
        <w:t>Având în vedere:</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1" w:name="do|pa2"/>
      <w:bookmarkEnd w:id="1"/>
      <w:r w:rsidRPr="00D475AC">
        <w:rPr>
          <w:rFonts w:ascii="Verdana" w:eastAsia="Times New Roman" w:hAnsi="Verdana" w:cs="Times New Roman"/>
        </w:rPr>
        <w:t xml:space="preserve">- prevederile art. 76 din Legea educaţiei naţionale nr. </w:t>
      </w:r>
      <w:hyperlink r:id="rId6" w:history="1">
        <w:r w:rsidRPr="00D475AC">
          <w:rPr>
            <w:rFonts w:ascii="Verdana" w:eastAsia="Times New Roman" w:hAnsi="Verdana" w:cs="Times New Roman"/>
            <w:b/>
            <w:bCs/>
            <w:color w:val="333399"/>
            <w:u w:val="single"/>
          </w:rPr>
          <w:t>1/2011</w:t>
        </w:r>
      </w:hyperlink>
      <w:r w:rsidRPr="00D475AC">
        <w:rPr>
          <w:rFonts w:ascii="Verdana" w:eastAsia="Times New Roman" w:hAnsi="Verdana" w:cs="Times New Roman"/>
        </w:rPr>
        <w:t>, cu modificările şi completările ulterioare;</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2" w:name="do|pa3"/>
      <w:bookmarkEnd w:id="2"/>
      <w:r w:rsidRPr="00D475AC">
        <w:rPr>
          <w:rFonts w:ascii="Verdana" w:eastAsia="Times New Roman" w:hAnsi="Verdana" w:cs="Times New Roman"/>
        </w:rPr>
        <w:t xml:space="preserve">- prevederile art. 42 din Legea nr. </w:t>
      </w:r>
      <w:hyperlink r:id="rId7" w:history="1">
        <w:r w:rsidRPr="00D475AC">
          <w:rPr>
            <w:rFonts w:ascii="Verdana" w:eastAsia="Times New Roman" w:hAnsi="Verdana" w:cs="Times New Roman"/>
            <w:b/>
            <w:bCs/>
            <w:color w:val="333399"/>
            <w:u w:val="single"/>
          </w:rPr>
          <w:t>55/2020</w:t>
        </w:r>
      </w:hyperlink>
      <w:r w:rsidRPr="00D475AC">
        <w:rPr>
          <w:rFonts w:ascii="Verdana" w:eastAsia="Times New Roman" w:hAnsi="Verdana" w:cs="Times New Roman"/>
        </w:rPr>
        <w:t xml:space="preserve"> privind unele măsuri pentru prevenirea şi combaterea efectelor pandemiei de COVID-19;</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3" w:name="do|pa4"/>
      <w:bookmarkEnd w:id="3"/>
      <w:r w:rsidRPr="00D475AC">
        <w:rPr>
          <w:rFonts w:ascii="Verdana" w:eastAsia="Times New Roman" w:hAnsi="Verdana" w:cs="Times New Roman"/>
        </w:rPr>
        <w:t xml:space="preserve">- prevederile art. 1 pct. 6 lit. p) din anexa nr. 2 la Hotărârea Guvernului nr. </w:t>
      </w:r>
      <w:hyperlink r:id="rId8" w:history="1">
        <w:r w:rsidRPr="00D475AC">
          <w:rPr>
            <w:rFonts w:ascii="Verdana" w:eastAsia="Times New Roman" w:hAnsi="Verdana" w:cs="Times New Roman"/>
            <w:b/>
            <w:bCs/>
            <w:color w:val="333399"/>
            <w:u w:val="single"/>
          </w:rPr>
          <w:t>394/2020</w:t>
        </w:r>
      </w:hyperlink>
      <w:r w:rsidRPr="00D475AC">
        <w:rPr>
          <w:rFonts w:ascii="Verdana" w:eastAsia="Times New Roman" w:hAnsi="Verdana" w:cs="Times New Roman"/>
        </w:rPr>
        <w:t xml:space="preserve"> privind declararea stării de alertă şi măsurile care se aplică pe durata acesteia pentru prevenirea şi combaterea efectelor pandemiei de COVID-19, aprobată cu modificări şi completări prin Hotărârea Parlamentului României nr. 5/2020;</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4" w:name="do|pa5"/>
      <w:bookmarkEnd w:id="4"/>
      <w:r w:rsidRPr="00D475AC">
        <w:rPr>
          <w:rFonts w:ascii="Verdana" w:eastAsia="Times New Roman" w:hAnsi="Verdana" w:cs="Times New Roman"/>
        </w:rPr>
        <w:t xml:space="preserve">- prevederile Legii nr. </w:t>
      </w:r>
      <w:hyperlink r:id="rId9" w:tooltip="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act publicat in M.Of. 651 din 26-iul-2018)" w:history="1">
        <w:r w:rsidRPr="00D475AC">
          <w:rPr>
            <w:rFonts w:ascii="Verdana" w:eastAsia="Times New Roman" w:hAnsi="Verdana" w:cs="Times New Roman"/>
            <w:b/>
            <w:bCs/>
            <w:color w:val="333399"/>
            <w:u w:val="single"/>
          </w:rPr>
          <w:t>190/2018</w:t>
        </w:r>
      </w:hyperlink>
      <w:r w:rsidRPr="00D475AC">
        <w:rPr>
          <w:rFonts w:ascii="Verdana" w:eastAsia="Times New Roman" w:hAnsi="Verdana" w:cs="Times New Roman"/>
        </w:rPr>
        <w:t xml:space="preserve"> privind măsuri de punere în aplicare a Regulamentului (UE) </w:t>
      </w:r>
      <w:hyperlink r:id="rId10" w:history="1">
        <w:r w:rsidRPr="00D475AC">
          <w:rPr>
            <w:rFonts w:ascii="Verdana" w:eastAsia="Times New Roman" w:hAnsi="Verdana" w:cs="Times New Roman"/>
            <w:b/>
            <w:bCs/>
            <w:color w:val="333399"/>
            <w:u w:val="single"/>
          </w:rPr>
          <w:t>2016/679</w:t>
        </w:r>
      </w:hyperlink>
      <w:r w:rsidRPr="00D475AC">
        <w:rPr>
          <w:rFonts w:ascii="Verdana" w:eastAsia="Times New Roman" w:hAnsi="Verdana" w:cs="Times New Roman"/>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1" w:history="1">
        <w:r w:rsidRPr="00D475AC">
          <w:rPr>
            <w:rFonts w:ascii="Verdana" w:eastAsia="Times New Roman" w:hAnsi="Verdana" w:cs="Times New Roman"/>
            <w:b/>
            <w:bCs/>
            <w:color w:val="333399"/>
            <w:u w:val="single"/>
          </w:rPr>
          <w:t>95/46/CE</w:t>
        </w:r>
      </w:hyperlink>
      <w:r w:rsidRPr="00D475AC">
        <w:rPr>
          <w:rFonts w:ascii="Verdana" w:eastAsia="Times New Roman" w:hAnsi="Verdana" w:cs="Times New Roman"/>
        </w:rPr>
        <w:t xml:space="preserve"> (Regulamentul general privind protecţia datelor), cu modificările ulterioare,</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5" w:name="do|pa6"/>
      <w:bookmarkEnd w:id="5"/>
      <w:r w:rsidRPr="00D475AC">
        <w:rPr>
          <w:rFonts w:ascii="Verdana" w:eastAsia="Times New Roman" w:hAnsi="Verdana" w:cs="Times New Roman"/>
        </w:rPr>
        <w:t xml:space="preserve">În temeiul prevederilor art. 3 alin. (1) şi al art. 15 alin. (3) din Hotărârea Guvernului nr. </w:t>
      </w:r>
      <w:hyperlink r:id="rId12" w:history="1">
        <w:r w:rsidRPr="00D475AC">
          <w:rPr>
            <w:rFonts w:ascii="Verdana" w:eastAsia="Times New Roman" w:hAnsi="Verdana" w:cs="Times New Roman"/>
            <w:b/>
            <w:bCs/>
            <w:color w:val="333399"/>
            <w:u w:val="single"/>
          </w:rPr>
          <w:t>24/2020</w:t>
        </w:r>
      </w:hyperlink>
      <w:r w:rsidRPr="00D475AC">
        <w:rPr>
          <w:rFonts w:ascii="Verdana" w:eastAsia="Times New Roman" w:hAnsi="Verdana" w:cs="Times New Roman"/>
        </w:rPr>
        <w:t xml:space="preserve"> privind organizarea şi funcţionarea Ministerului Educaţiei şi Cercetării,</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6" w:name="do|pa7"/>
      <w:bookmarkEnd w:id="6"/>
      <w:r w:rsidRPr="00D475AC">
        <w:rPr>
          <w:rFonts w:ascii="Verdana" w:eastAsia="Times New Roman" w:hAnsi="Verdana" w:cs="Times New Roman"/>
          <w:b/>
          <w:bCs/>
        </w:rPr>
        <w:t>ministrul educaţiei şi cercetării</w:t>
      </w:r>
      <w:r w:rsidRPr="00D475AC">
        <w:rPr>
          <w:rFonts w:ascii="Verdana" w:eastAsia="Times New Roman" w:hAnsi="Verdana" w:cs="Times New Roman"/>
        </w:rPr>
        <w:t xml:space="preserve"> emite prezentul ordin.</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7" w:name="do|arI"/>
      <w:r w:rsidRPr="00D475AC">
        <w:rPr>
          <w:rFonts w:ascii="Verdana" w:eastAsia="Times New Roman" w:hAnsi="Verdana" w:cs="Times New Roman"/>
          <w:b/>
          <w:bCs/>
          <w:noProof/>
          <w:color w:val="333399"/>
        </w:rPr>
        <w:drawing>
          <wp:inline distT="0" distB="0" distL="0" distR="0" wp14:anchorId="101C25B7" wp14:editId="22DF9B99">
            <wp:extent cx="95250" cy="95250"/>
            <wp:effectExtent l="0" t="0" r="0" b="0"/>
            <wp:docPr id="1" name="do|arI|_i" descr="C:\Users\Secretariat\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Secretariat\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D475AC">
        <w:rPr>
          <w:rFonts w:ascii="Verdana" w:eastAsia="Times New Roman" w:hAnsi="Verdana" w:cs="Times New Roman"/>
          <w:b/>
          <w:bCs/>
          <w:color w:val="0000AF"/>
        </w:rPr>
        <w:t>Art. I</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8" w:name="do|arI|pa1"/>
      <w:bookmarkEnd w:id="8"/>
      <w:r w:rsidRPr="00D475AC">
        <w:rPr>
          <w:rFonts w:ascii="Verdana" w:eastAsia="Times New Roman" w:hAnsi="Verdana" w:cs="Times New Roman"/>
        </w:rPr>
        <w:t xml:space="preserve">Metodologia de organizare şi desfăşurare a admiterii în învăţământul profesional de stat, aprobată prin Ordinul ministrului educaţiei naţionale şi cercetării ştiinţifice nr. </w:t>
      </w:r>
      <w:hyperlink r:id="rId15" w:history="1">
        <w:r w:rsidRPr="00D475AC">
          <w:rPr>
            <w:rFonts w:ascii="Verdana" w:eastAsia="Times New Roman" w:hAnsi="Verdana" w:cs="Times New Roman"/>
            <w:b/>
            <w:bCs/>
            <w:color w:val="333399"/>
            <w:u w:val="single"/>
          </w:rPr>
          <w:t>5.068/2016</w:t>
        </w:r>
      </w:hyperlink>
      <w:r w:rsidRPr="00D475AC">
        <w:rPr>
          <w:rFonts w:ascii="Verdana" w:eastAsia="Times New Roman" w:hAnsi="Verdana" w:cs="Times New Roman"/>
        </w:rPr>
        <w:t>, publicat în Monitorul Oficial al României, Partea I, nr. 841 din 24 octombrie 2016, se completează după cum urmează:</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9" w:name="do|arI|pt1"/>
      <w:r w:rsidRPr="00D475AC">
        <w:rPr>
          <w:rFonts w:ascii="Verdana" w:eastAsia="Times New Roman" w:hAnsi="Verdana" w:cs="Times New Roman"/>
          <w:b/>
          <w:bCs/>
          <w:noProof/>
          <w:color w:val="333399"/>
        </w:rPr>
        <w:drawing>
          <wp:inline distT="0" distB="0" distL="0" distR="0" wp14:anchorId="274E9A94" wp14:editId="0D8CE60D">
            <wp:extent cx="95250" cy="95250"/>
            <wp:effectExtent l="0" t="0" r="0" b="0"/>
            <wp:docPr id="2" name="do|arI|pt1|_i" descr="C:\Users\Secretariat\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Secretariat\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D475AC">
        <w:rPr>
          <w:rFonts w:ascii="Verdana" w:eastAsia="Times New Roman" w:hAnsi="Verdana" w:cs="Times New Roman"/>
          <w:b/>
          <w:bCs/>
          <w:color w:val="8F0000"/>
        </w:rPr>
        <w:t>1.</w:t>
      </w:r>
      <w:r w:rsidRPr="00D475AC">
        <w:rPr>
          <w:rFonts w:ascii="Verdana" w:eastAsia="Times New Roman" w:hAnsi="Verdana" w:cs="Times New Roman"/>
        </w:rPr>
        <w:t>La articolul 3, după alineatul (1) se introduce un nou alineat, alineatul (2), cu următorul cuprins:</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10" w:name="do|arI|pt1|pa1"/>
      <w:bookmarkEnd w:id="10"/>
      <w:r w:rsidRPr="00D475AC">
        <w:rPr>
          <w:rFonts w:ascii="Verdana" w:eastAsia="Times New Roman" w:hAnsi="Verdana" w:cs="Times New Roman"/>
        </w:rPr>
        <w:t>"(2) Prin derogare de la dispoziţiile alin. (1), în sesiunea de admitere în anul şcolar 2020-2021, unitatea de învăţământ organizează proba suplimentară de admitere numai în situaţia în care numărul de candidaţi este mai mare decât numărul de locuri oferite."</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11" w:name="do|arI|pt2"/>
      <w:r w:rsidRPr="00D475AC">
        <w:rPr>
          <w:rFonts w:ascii="Verdana" w:eastAsia="Times New Roman" w:hAnsi="Verdana" w:cs="Times New Roman"/>
          <w:b/>
          <w:bCs/>
          <w:noProof/>
          <w:color w:val="333399"/>
        </w:rPr>
        <w:drawing>
          <wp:inline distT="0" distB="0" distL="0" distR="0" wp14:anchorId="2244A6EC" wp14:editId="3EC47012">
            <wp:extent cx="95250" cy="95250"/>
            <wp:effectExtent l="0" t="0" r="0" b="0"/>
            <wp:docPr id="3" name="do|arI|pt2|_i" descr="C:\Users\Secretariat\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Secretariat\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D475AC">
        <w:rPr>
          <w:rFonts w:ascii="Verdana" w:eastAsia="Times New Roman" w:hAnsi="Verdana" w:cs="Times New Roman"/>
          <w:b/>
          <w:bCs/>
          <w:color w:val="8F0000"/>
        </w:rPr>
        <w:t>2.</w:t>
      </w:r>
      <w:r w:rsidRPr="00D475AC">
        <w:rPr>
          <w:rFonts w:ascii="Verdana" w:eastAsia="Times New Roman" w:hAnsi="Verdana" w:cs="Times New Roman"/>
        </w:rPr>
        <w:t>La articolul 5, după alineatul (2) se introduce un nou alineat, alineatul (2</w:t>
      </w:r>
      <w:r w:rsidRPr="00D475AC">
        <w:rPr>
          <w:rFonts w:ascii="Verdana" w:eastAsia="Times New Roman" w:hAnsi="Verdana" w:cs="Times New Roman"/>
          <w:vertAlign w:val="superscript"/>
        </w:rPr>
        <w:t>1</w:t>
      </w:r>
      <w:r w:rsidRPr="00D475AC">
        <w:rPr>
          <w:rFonts w:ascii="Verdana" w:eastAsia="Times New Roman" w:hAnsi="Verdana" w:cs="Times New Roman"/>
        </w:rPr>
        <w:t>), cu următorul cuprins:</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12" w:name="do|arI|pt2|pa1"/>
      <w:bookmarkEnd w:id="12"/>
      <w:r w:rsidRPr="00D475AC">
        <w:rPr>
          <w:rFonts w:ascii="Verdana" w:eastAsia="Times New Roman" w:hAnsi="Verdana" w:cs="Times New Roman"/>
        </w:rPr>
        <w:t>"(2</w:t>
      </w:r>
      <w:r w:rsidRPr="00D475AC">
        <w:rPr>
          <w:rFonts w:ascii="Verdana" w:eastAsia="Times New Roman" w:hAnsi="Verdana" w:cs="Times New Roman"/>
          <w:vertAlign w:val="superscript"/>
        </w:rPr>
        <w:t>1</w:t>
      </w:r>
      <w:r w:rsidRPr="00D475AC">
        <w:rPr>
          <w:rFonts w:ascii="Verdana" w:eastAsia="Times New Roman" w:hAnsi="Verdana" w:cs="Times New Roman"/>
        </w:rPr>
        <w:t>) În sesiunea de admitere în anul şcolar 2020-2021, înscrierea candidaţilor în vederea admiterii în învăţământul profesional se face prin transmiterea, în format electronic, de către unitatea de învăţământ gimnazial la unitatea de învăţământ care are ofertă educaţională pentru învăţământul profesional a fişei de înscriere completate inclusiv cu opţiunea candidatului pentru o unitate de învăţământ şi pentru una sau mai multe calificări profesionale din oferta unităţii de învăţământ, în ordinea preferinţelor exprimate de candidat."</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13" w:name="do|arI|pt3"/>
      <w:r w:rsidRPr="00D475AC">
        <w:rPr>
          <w:rFonts w:ascii="Verdana" w:eastAsia="Times New Roman" w:hAnsi="Verdana" w:cs="Times New Roman"/>
          <w:b/>
          <w:bCs/>
          <w:noProof/>
          <w:color w:val="333399"/>
        </w:rPr>
        <w:drawing>
          <wp:inline distT="0" distB="0" distL="0" distR="0" wp14:anchorId="3DA88FF2" wp14:editId="06A71747">
            <wp:extent cx="95250" cy="95250"/>
            <wp:effectExtent l="0" t="0" r="0" b="0"/>
            <wp:docPr id="4" name="do|arI|pt3|_i" descr="C:\Users\Secretariat\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C:\Users\Secretariat\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D475AC">
        <w:rPr>
          <w:rFonts w:ascii="Verdana" w:eastAsia="Times New Roman" w:hAnsi="Verdana" w:cs="Times New Roman"/>
          <w:b/>
          <w:bCs/>
          <w:color w:val="8F0000"/>
        </w:rPr>
        <w:t>3.</w:t>
      </w:r>
      <w:r w:rsidRPr="00D475AC">
        <w:rPr>
          <w:rFonts w:ascii="Verdana" w:eastAsia="Times New Roman" w:hAnsi="Verdana" w:cs="Times New Roman"/>
        </w:rPr>
        <w:t>La articolul 9, după alineatul (3) se introduce un nou alineat, alineatul (3</w:t>
      </w:r>
      <w:r w:rsidRPr="00D475AC">
        <w:rPr>
          <w:rFonts w:ascii="Verdana" w:eastAsia="Times New Roman" w:hAnsi="Verdana" w:cs="Times New Roman"/>
          <w:vertAlign w:val="superscript"/>
        </w:rPr>
        <w:t>1</w:t>
      </w:r>
      <w:r w:rsidRPr="00D475AC">
        <w:rPr>
          <w:rFonts w:ascii="Verdana" w:eastAsia="Times New Roman" w:hAnsi="Verdana" w:cs="Times New Roman"/>
        </w:rPr>
        <w:t>), cu următorul cuprins:</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14" w:name="do|arI|pt3|pa1"/>
      <w:bookmarkEnd w:id="14"/>
      <w:r w:rsidRPr="00D475AC">
        <w:rPr>
          <w:rFonts w:ascii="Verdana" w:eastAsia="Times New Roman" w:hAnsi="Verdana" w:cs="Times New Roman"/>
        </w:rPr>
        <w:lastRenderedPageBreak/>
        <w:t>"(3</w:t>
      </w:r>
      <w:r w:rsidRPr="00D475AC">
        <w:rPr>
          <w:rFonts w:ascii="Verdana" w:eastAsia="Times New Roman" w:hAnsi="Verdana" w:cs="Times New Roman"/>
          <w:vertAlign w:val="superscript"/>
        </w:rPr>
        <w:t>1</w:t>
      </w:r>
      <w:r w:rsidRPr="00D475AC">
        <w:rPr>
          <w:rFonts w:ascii="Verdana" w:eastAsia="Times New Roman" w:hAnsi="Verdana" w:cs="Times New Roman"/>
        </w:rPr>
        <w:t>) Prin derogare de la prevederile alin. (3), în sesiunea de admitere în anul şcolar 2020-2021, procedura de admitere cuprinde informaţii privind:</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15" w:name="do|arI|pt3|pa2"/>
      <w:bookmarkEnd w:id="15"/>
      <w:r w:rsidRPr="00D475AC">
        <w:rPr>
          <w:rFonts w:ascii="Verdana" w:eastAsia="Times New Roman" w:hAnsi="Verdana" w:cs="Times New Roman"/>
        </w:rPr>
        <w:t>a) cazurile în care se susţine proba suplimentară de admitere şi calculul mediei de admitere, conform art. 10 şi, respectiv art. 12, modalităţile de departajare a candidaţilor cu medii de admitere egale, conform art. 11;</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16" w:name="do|arI|pt3|pa3"/>
      <w:bookmarkEnd w:id="16"/>
      <w:r w:rsidRPr="00D475AC">
        <w:rPr>
          <w:rFonts w:ascii="Verdana" w:eastAsia="Times New Roman" w:hAnsi="Verdana" w:cs="Times New Roman"/>
        </w:rPr>
        <w:t>b) proba suplimentară de admitere, care se constituie din una sau mai multe discipline studiate în clasele V-VIII; disciplina/disciplinele este/sunt stabilită/e de unitatea de învăţământ şi de operatorul economic, după caz, în raport cu relevanţa acesteia/acestora pentru calificarea profesională în care se vor pregăti elevii; nota obţinută la proba suplimentară reprezintă media aritmetică a mediilor obţinute de candidaţi la disciplina/disciplinele stabilită/e;</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17" w:name="do|arI|pt3|pa4"/>
      <w:bookmarkEnd w:id="17"/>
      <w:r w:rsidRPr="00D475AC">
        <w:rPr>
          <w:rFonts w:ascii="Verdana" w:eastAsia="Times New Roman" w:hAnsi="Verdana" w:cs="Times New Roman"/>
        </w:rPr>
        <w:t>c) modul de organizare şi desfăşurare a contestaţiilor."</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18" w:name="do|arI|pt4"/>
      <w:r w:rsidRPr="00D475AC">
        <w:rPr>
          <w:rFonts w:ascii="Verdana" w:eastAsia="Times New Roman" w:hAnsi="Verdana" w:cs="Times New Roman"/>
          <w:b/>
          <w:bCs/>
          <w:noProof/>
          <w:color w:val="333399"/>
        </w:rPr>
        <w:drawing>
          <wp:inline distT="0" distB="0" distL="0" distR="0" wp14:anchorId="7C7A6527" wp14:editId="7E878B9D">
            <wp:extent cx="95250" cy="95250"/>
            <wp:effectExtent l="0" t="0" r="0" b="0"/>
            <wp:docPr id="5" name="do|arI|pt4|_i" descr="C:\Users\Secretariat\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C:\Users\Secretariat\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D475AC">
        <w:rPr>
          <w:rFonts w:ascii="Verdana" w:eastAsia="Times New Roman" w:hAnsi="Verdana" w:cs="Times New Roman"/>
          <w:b/>
          <w:bCs/>
          <w:color w:val="8F0000"/>
        </w:rPr>
        <w:t>4.</w:t>
      </w:r>
      <w:r w:rsidRPr="00D475AC">
        <w:rPr>
          <w:rFonts w:ascii="Verdana" w:eastAsia="Times New Roman" w:hAnsi="Verdana" w:cs="Times New Roman"/>
        </w:rPr>
        <w:t>La articolul 9, după alineatul (5) se introduce un nou alineat, alineatul (5</w:t>
      </w:r>
      <w:r w:rsidRPr="00D475AC">
        <w:rPr>
          <w:rFonts w:ascii="Verdana" w:eastAsia="Times New Roman" w:hAnsi="Verdana" w:cs="Times New Roman"/>
          <w:vertAlign w:val="superscript"/>
        </w:rPr>
        <w:t>1</w:t>
      </w:r>
      <w:r w:rsidRPr="00D475AC">
        <w:rPr>
          <w:rFonts w:ascii="Verdana" w:eastAsia="Times New Roman" w:hAnsi="Verdana" w:cs="Times New Roman"/>
        </w:rPr>
        <w:t>), cu următorul cuprins:</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19" w:name="do|arI|pt4|pa1"/>
      <w:bookmarkEnd w:id="19"/>
      <w:r w:rsidRPr="00D475AC">
        <w:rPr>
          <w:rFonts w:ascii="Verdana" w:eastAsia="Times New Roman" w:hAnsi="Verdana" w:cs="Times New Roman"/>
        </w:rPr>
        <w:t>"(5</w:t>
      </w:r>
      <w:r w:rsidRPr="00D475AC">
        <w:rPr>
          <w:rFonts w:ascii="Verdana" w:eastAsia="Times New Roman" w:hAnsi="Verdana" w:cs="Times New Roman"/>
          <w:vertAlign w:val="superscript"/>
        </w:rPr>
        <w:t>1</w:t>
      </w:r>
      <w:r w:rsidRPr="00D475AC">
        <w:rPr>
          <w:rFonts w:ascii="Verdana" w:eastAsia="Times New Roman" w:hAnsi="Verdana" w:cs="Times New Roman"/>
        </w:rPr>
        <w:t>) În sesiunea de admitere în anul şcolar 2020-2021, proba suplimentară de admitere, aşa cum este definită la alin. (3</w:t>
      </w:r>
      <w:r w:rsidRPr="00D475AC">
        <w:rPr>
          <w:rFonts w:ascii="Verdana" w:eastAsia="Times New Roman" w:hAnsi="Verdana" w:cs="Times New Roman"/>
          <w:vertAlign w:val="superscript"/>
        </w:rPr>
        <w:t>1</w:t>
      </w:r>
      <w:r w:rsidRPr="00D475AC">
        <w:rPr>
          <w:rFonts w:ascii="Verdana" w:eastAsia="Times New Roman" w:hAnsi="Verdana" w:cs="Times New Roman"/>
        </w:rPr>
        <w:t>) lit. b), se aplică doar în cazul în care numărul de candidaţi este mai mare decât numărul locurilor oferite de unitatea de învăţământ."</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20" w:name="do|arI|pt5"/>
      <w:r w:rsidRPr="00D475AC">
        <w:rPr>
          <w:rFonts w:ascii="Verdana" w:eastAsia="Times New Roman" w:hAnsi="Verdana" w:cs="Times New Roman"/>
          <w:b/>
          <w:bCs/>
          <w:noProof/>
          <w:color w:val="333399"/>
        </w:rPr>
        <w:drawing>
          <wp:inline distT="0" distB="0" distL="0" distR="0" wp14:anchorId="0D32E4B9" wp14:editId="747D4194">
            <wp:extent cx="95250" cy="95250"/>
            <wp:effectExtent l="0" t="0" r="0" b="0"/>
            <wp:docPr id="6" name="do|arI|pt5|_i" descr="C:\Users\Secretariat\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_i" descr="C:\Users\Secretariat\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D475AC">
        <w:rPr>
          <w:rFonts w:ascii="Verdana" w:eastAsia="Times New Roman" w:hAnsi="Verdana" w:cs="Times New Roman"/>
          <w:b/>
          <w:bCs/>
          <w:color w:val="8F0000"/>
        </w:rPr>
        <w:t>5.</w:t>
      </w:r>
      <w:r w:rsidRPr="00D475AC">
        <w:rPr>
          <w:rFonts w:ascii="Verdana" w:eastAsia="Times New Roman" w:hAnsi="Verdana" w:cs="Times New Roman"/>
        </w:rPr>
        <w:t>La articolul 9, după alineatul (6) se introduce un nou alineat, alineatul (7), cu următorul cuprins:</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21" w:name="do|arI|pt5|pa1"/>
      <w:bookmarkEnd w:id="21"/>
      <w:r w:rsidRPr="00D475AC">
        <w:rPr>
          <w:rFonts w:ascii="Verdana" w:eastAsia="Times New Roman" w:hAnsi="Verdana" w:cs="Times New Roman"/>
        </w:rPr>
        <w:t>"(7) În sesiunea de admitere în anul şcolar 2020-2021, unitatea de învăţământ poate decide ca proba suplimentară de admitere, aşa cum este definită la alin. (3</w:t>
      </w:r>
      <w:r w:rsidRPr="00D475AC">
        <w:rPr>
          <w:rFonts w:ascii="Verdana" w:eastAsia="Times New Roman" w:hAnsi="Verdana" w:cs="Times New Roman"/>
          <w:vertAlign w:val="superscript"/>
        </w:rPr>
        <w:t>1</w:t>
      </w:r>
      <w:r w:rsidRPr="00D475AC">
        <w:rPr>
          <w:rFonts w:ascii="Verdana" w:eastAsia="Times New Roman" w:hAnsi="Verdana" w:cs="Times New Roman"/>
        </w:rPr>
        <w:t>) lit. b), să se aplice doar la calificarea/calificările la care numărul de candidaţi depăşeşte numărul de locuri de la calificarea/calificările respectivă/respective, cu posibilitatea redistribuirii la celelalte calificări pentru care nu s-a organizat proba suplimentară, în situaţia în care candidaţii au optat în fişa de înscriere pentru aceste calificări."</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22" w:name="do|arI|pt6"/>
      <w:r w:rsidRPr="00D475AC">
        <w:rPr>
          <w:rFonts w:ascii="Verdana" w:eastAsia="Times New Roman" w:hAnsi="Verdana" w:cs="Times New Roman"/>
          <w:b/>
          <w:bCs/>
          <w:noProof/>
          <w:color w:val="333399"/>
        </w:rPr>
        <w:drawing>
          <wp:inline distT="0" distB="0" distL="0" distR="0" wp14:anchorId="02271E4E" wp14:editId="31C239EE">
            <wp:extent cx="95250" cy="95250"/>
            <wp:effectExtent l="0" t="0" r="0" b="0"/>
            <wp:docPr id="7" name="do|arI|pt6|_i" descr="C:\Users\Secretariat\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_i" descr="C:\Users\Secretariat\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D475AC">
        <w:rPr>
          <w:rFonts w:ascii="Verdana" w:eastAsia="Times New Roman" w:hAnsi="Verdana" w:cs="Times New Roman"/>
          <w:b/>
          <w:bCs/>
          <w:color w:val="8F0000"/>
        </w:rPr>
        <w:t>6.</w:t>
      </w:r>
      <w:r w:rsidRPr="00D475AC">
        <w:rPr>
          <w:rFonts w:ascii="Verdana" w:eastAsia="Times New Roman" w:hAnsi="Verdana" w:cs="Times New Roman"/>
        </w:rPr>
        <w:t>La articolul 14, după alineatul (1) se introduce un nou alineat, alineatul (1</w:t>
      </w:r>
      <w:r w:rsidRPr="00D475AC">
        <w:rPr>
          <w:rFonts w:ascii="Verdana" w:eastAsia="Times New Roman" w:hAnsi="Verdana" w:cs="Times New Roman"/>
          <w:vertAlign w:val="superscript"/>
        </w:rPr>
        <w:t>1</w:t>
      </w:r>
      <w:r w:rsidRPr="00D475AC">
        <w:rPr>
          <w:rFonts w:ascii="Verdana" w:eastAsia="Times New Roman" w:hAnsi="Verdana" w:cs="Times New Roman"/>
        </w:rPr>
        <w:t>), cu următorul cuprins:</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23" w:name="do|arI|pt6|pa1"/>
      <w:bookmarkEnd w:id="23"/>
      <w:r w:rsidRPr="00D475AC">
        <w:rPr>
          <w:rFonts w:ascii="Verdana" w:eastAsia="Times New Roman" w:hAnsi="Verdana" w:cs="Times New Roman"/>
        </w:rPr>
        <w:t>"(1</w:t>
      </w:r>
      <w:r w:rsidRPr="00D475AC">
        <w:rPr>
          <w:rFonts w:ascii="Verdana" w:eastAsia="Times New Roman" w:hAnsi="Verdana" w:cs="Times New Roman"/>
          <w:vertAlign w:val="superscript"/>
        </w:rPr>
        <w:t>1</w:t>
      </w:r>
      <w:r w:rsidRPr="00D475AC">
        <w:rPr>
          <w:rFonts w:ascii="Verdana" w:eastAsia="Times New Roman" w:hAnsi="Verdana" w:cs="Times New Roman"/>
        </w:rPr>
        <w:t>) În sesiunea de admitere în anul şcolar 2020-2021, după afişarea rezultatelor la admiterea în învăţământul profesional, în perioada menţionată în calendarul admiterii în învăţământul profesional, candidaţii depun sau transmit prin poştă, la unităţile de învăţământ la care au fost declaraţi admişi, dosarele de înscriere, cuprinzând actele de studii."</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24" w:name="do|arI|pt7"/>
      <w:r w:rsidRPr="00D475AC">
        <w:rPr>
          <w:rFonts w:ascii="Verdana" w:eastAsia="Times New Roman" w:hAnsi="Verdana" w:cs="Times New Roman"/>
          <w:b/>
          <w:bCs/>
          <w:noProof/>
          <w:color w:val="333399"/>
        </w:rPr>
        <w:drawing>
          <wp:inline distT="0" distB="0" distL="0" distR="0" wp14:anchorId="1B164907" wp14:editId="40FC3F66">
            <wp:extent cx="95250" cy="95250"/>
            <wp:effectExtent l="0" t="0" r="0" b="0"/>
            <wp:docPr id="8" name="do|arI|pt7|_i" descr="C:\Users\Secretariat\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_i" descr="C:\Users\Secretariat\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D475AC">
        <w:rPr>
          <w:rFonts w:ascii="Verdana" w:eastAsia="Times New Roman" w:hAnsi="Verdana" w:cs="Times New Roman"/>
          <w:b/>
          <w:bCs/>
          <w:color w:val="8F0000"/>
        </w:rPr>
        <w:t>7.</w:t>
      </w:r>
      <w:r w:rsidRPr="00D475AC">
        <w:rPr>
          <w:rFonts w:ascii="Verdana" w:eastAsia="Times New Roman" w:hAnsi="Verdana" w:cs="Times New Roman"/>
        </w:rPr>
        <w:t>La articolul 14, după alineatul (2) se introduce un nou alineat, alineatul (2</w:t>
      </w:r>
      <w:r w:rsidRPr="00D475AC">
        <w:rPr>
          <w:rFonts w:ascii="Verdana" w:eastAsia="Times New Roman" w:hAnsi="Verdana" w:cs="Times New Roman"/>
          <w:vertAlign w:val="superscript"/>
        </w:rPr>
        <w:t>1</w:t>
      </w:r>
      <w:r w:rsidRPr="00D475AC">
        <w:rPr>
          <w:rFonts w:ascii="Verdana" w:eastAsia="Times New Roman" w:hAnsi="Verdana" w:cs="Times New Roman"/>
        </w:rPr>
        <w:t>), cu următorul cuprins:</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25" w:name="do|arI|pt7|pa1"/>
      <w:bookmarkEnd w:id="25"/>
      <w:r w:rsidRPr="00D475AC">
        <w:rPr>
          <w:rFonts w:ascii="Verdana" w:eastAsia="Times New Roman" w:hAnsi="Verdana" w:cs="Times New Roman"/>
        </w:rPr>
        <w:t>"(2</w:t>
      </w:r>
      <w:r w:rsidRPr="00D475AC">
        <w:rPr>
          <w:rFonts w:ascii="Verdana" w:eastAsia="Times New Roman" w:hAnsi="Verdana" w:cs="Times New Roman"/>
          <w:vertAlign w:val="superscript"/>
        </w:rPr>
        <w:t>1</w:t>
      </w:r>
      <w:r w:rsidRPr="00D475AC">
        <w:rPr>
          <w:rFonts w:ascii="Verdana" w:eastAsia="Times New Roman" w:hAnsi="Verdana" w:cs="Times New Roman"/>
        </w:rPr>
        <w:t>) Prin derogare de la prevederile alin. (2), în sesiunea de admitere în anul şcolar 2020-2021, înscrierea candidaţilor declaraţi admişi se efectuează, conform unui program afişat de unitatea de învăţământ, pe baza următoarelor acte:</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26" w:name="do|arI|pt7|pa2"/>
      <w:bookmarkEnd w:id="26"/>
      <w:r w:rsidRPr="00D475AC">
        <w:rPr>
          <w:rFonts w:ascii="Verdana" w:eastAsia="Times New Roman" w:hAnsi="Verdana" w:cs="Times New Roman"/>
        </w:rPr>
        <w:t>a) fişa de înscriere în învăţământul profesional, în original;</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27" w:name="do|arI|pt7|pa3"/>
      <w:bookmarkEnd w:id="27"/>
      <w:r w:rsidRPr="00D475AC">
        <w:rPr>
          <w:rFonts w:ascii="Verdana" w:eastAsia="Times New Roman" w:hAnsi="Verdana" w:cs="Times New Roman"/>
        </w:rPr>
        <w:t>b) certificatul de naştere, în copie legalizată sau certificată conform cu originalul de către unitatea de învăţământ gimnazial sau de către unitatea de învăţământ la care a fost declarat admis (este necesară prezentarea originalului pentru certificare);</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28" w:name="do|arI|pt7|pa4"/>
      <w:bookmarkEnd w:id="28"/>
      <w:r w:rsidRPr="00D475AC">
        <w:rPr>
          <w:rFonts w:ascii="Verdana" w:eastAsia="Times New Roman" w:hAnsi="Verdana" w:cs="Times New Roman"/>
        </w:rPr>
        <w:t>c) adeverinţă cu notele la tezele cu subiect unic din clasa a VIII-a/testele naţionale/examenul de capacitate, pentru candidaţii din seriile anterioare care nu au susţinut evaluarea naţională;</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29" w:name="do|arI|pt7|pa5"/>
      <w:bookmarkEnd w:id="29"/>
      <w:r w:rsidRPr="00D475AC">
        <w:rPr>
          <w:rFonts w:ascii="Verdana" w:eastAsia="Times New Roman" w:hAnsi="Verdana" w:cs="Times New Roman"/>
        </w:rPr>
        <w:t>d) fişa medicală."</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30" w:name="do|arI|pt8"/>
      <w:r w:rsidRPr="00D475AC">
        <w:rPr>
          <w:rFonts w:ascii="Verdana" w:eastAsia="Times New Roman" w:hAnsi="Verdana" w:cs="Times New Roman"/>
          <w:b/>
          <w:bCs/>
          <w:noProof/>
          <w:color w:val="333399"/>
        </w:rPr>
        <w:lastRenderedPageBreak/>
        <w:drawing>
          <wp:inline distT="0" distB="0" distL="0" distR="0" wp14:anchorId="436EA3E9" wp14:editId="0692F5B8">
            <wp:extent cx="95250" cy="95250"/>
            <wp:effectExtent l="0" t="0" r="0" b="0"/>
            <wp:docPr id="9" name="do|arI|pt8|_i" descr="C:\Users\Secretariat\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_i" descr="C:\Users\Secretariat\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
      <w:r w:rsidRPr="00D475AC">
        <w:rPr>
          <w:rFonts w:ascii="Verdana" w:eastAsia="Times New Roman" w:hAnsi="Verdana" w:cs="Times New Roman"/>
          <w:b/>
          <w:bCs/>
          <w:color w:val="8F0000"/>
        </w:rPr>
        <w:t>8.</w:t>
      </w:r>
      <w:r w:rsidRPr="00D475AC">
        <w:rPr>
          <w:rFonts w:ascii="Verdana" w:eastAsia="Times New Roman" w:hAnsi="Verdana" w:cs="Times New Roman"/>
        </w:rPr>
        <w:t>La articolul 24, după alineatul (1) se introduce un nou alineat, alineatul (1</w:t>
      </w:r>
      <w:r w:rsidRPr="00D475AC">
        <w:rPr>
          <w:rFonts w:ascii="Verdana" w:eastAsia="Times New Roman" w:hAnsi="Verdana" w:cs="Times New Roman"/>
          <w:vertAlign w:val="superscript"/>
        </w:rPr>
        <w:t>1</w:t>
      </w:r>
      <w:r w:rsidRPr="00D475AC">
        <w:rPr>
          <w:rFonts w:ascii="Verdana" w:eastAsia="Times New Roman" w:hAnsi="Verdana" w:cs="Times New Roman"/>
        </w:rPr>
        <w:t>), cu următorul cuprins:</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31" w:name="do|arI|pt8|pa1"/>
      <w:bookmarkEnd w:id="31"/>
      <w:r w:rsidRPr="00D475AC">
        <w:rPr>
          <w:rFonts w:ascii="Verdana" w:eastAsia="Times New Roman" w:hAnsi="Verdana" w:cs="Times New Roman"/>
        </w:rPr>
        <w:t>"(1</w:t>
      </w:r>
      <w:r w:rsidRPr="00D475AC">
        <w:rPr>
          <w:rFonts w:ascii="Verdana" w:eastAsia="Times New Roman" w:hAnsi="Verdana" w:cs="Times New Roman"/>
          <w:vertAlign w:val="superscript"/>
        </w:rPr>
        <w:t>1</w:t>
      </w:r>
      <w:r w:rsidRPr="00D475AC">
        <w:rPr>
          <w:rFonts w:ascii="Verdana" w:eastAsia="Times New Roman" w:hAnsi="Verdana" w:cs="Times New Roman"/>
        </w:rPr>
        <w:t>) Prin derogare de la prevederile alin. (1), în sesiunea de admitere în anul şcolar 2020-2021, Comisia de admitere din unităţile de învăţământ care organizează învăţământ profesional este alcătuită din:</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32" w:name="do|arI|pt8|pa2"/>
      <w:bookmarkEnd w:id="32"/>
      <w:r w:rsidRPr="00D475AC">
        <w:rPr>
          <w:rFonts w:ascii="Verdana" w:eastAsia="Times New Roman" w:hAnsi="Verdana" w:cs="Times New Roman"/>
        </w:rPr>
        <w:t xml:space="preserve">a) </w:t>
      </w:r>
      <w:r w:rsidRPr="00D475AC">
        <w:rPr>
          <w:rFonts w:ascii="Verdana" w:eastAsia="Times New Roman" w:hAnsi="Verdana" w:cs="Times New Roman"/>
          <w:i/>
          <w:iCs/>
        </w:rPr>
        <w:t>preşedinte</w:t>
      </w:r>
      <w:r w:rsidRPr="00D475AC">
        <w:rPr>
          <w:rFonts w:ascii="Verdana" w:eastAsia="Times New Roman" w:hAnsi="Verdana" w:cs="Times New Roman"/>
        </w:rPr>
        <w:t xml:space="preserve"> - directorul sau directorul adjunct al unităţii de învăţământ;</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33" w:name="do|arI|pt8|pa3"/>
      <w:bookmarkEnd w:id="33"/>
      <w:r w:rsidRPr="00D475AC">
        <w:rPr>
          <w:rFonts w:ascii="Verdana" w:eastAsia="Times New Roman" w:hAnsi="Verdana" w:cs="Times New Roman"/>
        </w:rPr>
        <w:t xml:space="preserve">b) </w:t>
      </w:r>
      <w:r w:rsidRPr="00D475AC">
        <w:rPr>
          <w:rFonts w:ascii="Verdana" w:eastAsia="Times New Roman" w:hAnsi="Verdana" w:cs="Times New Roman"/>
          <w:i/>
          <w:iCs/>
        </w:rPr>
        <w:t>vicepreşedinte</w:t>
      </w:r>
      <w:r w:rsidRPr="00D475AC">
        <w:rPr>
          <w:rFonts w:ascii="Verdana" w:eastAsia="Times New Roman" w:hAnsi="Verdana" w:cs="Times New Roman"/>
        </w:rPr>
        <w:t xml:space="preserve"> - directorul adjunct sau şeful catedrei/ariei curriculare tehnologii;</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34" w:name="do|arI|pt8|pa4"/>
      <w:bookmarkEnd w:id="34"/>
      <w:r w:rsidRPr="00D475AC">
        <w:rPr>
          <w:rFonts w:ascii="Verdana" w:eastAsia="Times New Roman" w:hAnsi="Verdana" w:cs="Times New Roman"/>
        </w:rPr>
        <w:t xml:space="preserve">c) </w:t>
      </w:r>
      <w:r w:rsidRPr="00D475AC">
        <w:rPr>
          <w:rFonts w:ascii="Verdana" w:eastAsia="Times New Roman" w:hAnsi="Verdana" w:cs="Times New Roman"/>
          <w:i/>
          <w:iCs/>
        </w:rPr>
        <w:t>secretar</w:t>
      </w:r>
      <w:r w:rsidRPr="00D475AC">
        <w:rPr>
          <w:rFonts w:ascii="Verdana" w:eastAsia="Times New Roman" w:hAnsi="Verdana" w:cs="Times New Roman"/>
        </w:rPr>
        <w:t xml:space="preserve"> - secretarul unităţii de învăţământ;</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35" w:name="do|arI|pt8|pa5"/>
      <w:bookmarkEnd w:id="35"/>
      <w:r w:rsidRPr="00D475AC">
        <w:rPr>
          <w:rFonts w:ascii="Verdana" w:eastAsia="Times New Roman" w:hAnsi="Verdana" w:cs="Times New Roman"/>
        </w:rPr>
        <w:t xml:space="preserve">d) </w:t>
      </w:r>
      <w:r w:rsidRPr="00D475AC">
        <w:rPr>
          <w:rFonts w:ascii="Verdana" w:eastAsia="Times New Roman" w:hAnsi="Verdana" w:cs="Times New Roman"/>
          <w:i/>
          <w:iCs/>
        </w:rPr>
        <w:t>membri</w:t>
      </w:r>
      <w:r w:rsidRPr="00D475AC">
        <w:rPr>
          <w:rFonts w:ascii="Verdana" w:eastAsia="Times New Roman" w:hAnsi="Verdana" w:cs="Times New Roman"/>
        </w:rPr>
        <w:t>: cadre didactice care asigură verificarea documentaţiei de înscriere a candidaţilor, transmise de unitatea de învăţământ gimnazial în vederea admiterii, iar ulterior, conform calendarului, asigură verificarea dosarelor candidaţilor declaraţi admişi."</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36" w:name="do|arII"/>
      <w:r w:rsidRPr="00D475AC">
        <w:rPr>
          <w:rFonts w:ascii="Verdana" w:eastAsia="Times New Roman" w:hAnsi="Verdana" w:cs="Times New Roman"/>
          <w:b/>
          <w:bCs/>
          <w:noProof/>
          <w:color w:val="333399"/>
        </w:rPr>
        <w:drawing>
          <wp:inline distT="0" distB="0" distL="0" distR="0" wp14:anchorId="7DC895E8" wp14:editId="132BD00F">
            <wp:extent cx="95250" cy="95250"/>
            <wp:effectExtent l="0" t="0" r="0" b="0"/>
            <wp:docPr id="10" name="do|arII|_i" descr="C:\Users\Secretariat\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Secretariat\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D475AC">
        <w:rPr>
          <w:rFonts w:ascii="Verdana" w:eastAsia="Times New Roman" w:hAnsi="Verdana" w:cs="Times New Roman"/>
          <w:b/>
          <w:bCs/>
          <w:color w:val="0000AF"/>
        </w:rPr>
        <w:t>Art. II</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37" w:name="do|arII|pa1"/>
      <w:bookmarkEnd w:id="37"/>
      <w:r w:rsidRPr="00D475AC">
        <w:rPr>
          <w:rFonts w:ascii="Verdana" w:eastAsia="Times New Roman" w:hAnsi="Verdana" w:cs="Times New Roman"/>
        </w:rPr>
        <w:t xml:space="preserve">Pentru sesiunea de admitere organizată în anul 2020 aplicarea prevederilor art. 4 alin. (2) lit. b), art. 8 şi art. 16 alin. (3) din Metodologia de organizare şi desfăşurare a admiterii în învăţământul profesional de stat, aprobată prin Ordinul ministrului educaţiei naţionale şi cercetării ştiinţifice nr. </w:t>
      </w:r>
      <w:hyperlink r:id="rId16" w:history="1">
        <w:r w:rsidRPr="00D475AC">
          <w:rPr>
            <w:rFonts w:ascii="Verdana" w:eastAsia="Times New Roman" w:hAnsi="Verdana" w:cs="Times New Roman"/>
            <w:b/>
            <w:bCs/>
            <w:color w:val="333399"/>
            <w:u w:val="single"/>
          </w:rPr>
          <w:t>5.068/2016</w:t>
        </w:r>
      </w:hyperlink>
      <w:r w:rsidRPr="00D475AC">
        <w:rPr>
          <w:rFonts w:ascii="Verdana" w:eastAsia="Times New Roman" w:hAnsi="Verdana" w:cs="Times New Roman"/>
        </w:rPr>
        <w:t>, se suspendă.</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38" w:name="do|arIII"/>
      <w:r w:rsidRPr="00D475AC">
        <w:rPr>
          <w:rFonts w:ascii="Verdana" w:eastAsia="Times New Roman" w:hAnsi="Verdana" w:cs="Times New Roman"/>
          <w:b/>
          <w:bCs/>
          <w:noProof/>
          <w:color w:val="333399"/>
        </w:rPr>
        <w:drawing>
          <wp:inline distT="0" distB="0" distL="0" distR="0" wp14:anchorId="743090ED" wp14:editId="0634C817">
            <wp:extent cx="95250" cy="95250"/>
            <wp:effectExtent l="0" t="0" r="0" b="0"/>
            <wp:docPr id="11" name="do|arIII|_i" descr="C:\Users\Secretariat\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_i" descr="C:\Users\Secretariat\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
      <w:r w:rsidRPr="00D475AC">
        <w:rPr>
          <w:rFonts w:ascii="Verdana" w:eastAsia="Times New Roman" w:hAnsi="Verdana" w:cs="Times New Roman"/>
          <w:b/>
          <w:bCs/>
          <w:color w:val="0000AF"/>
        </w:rPr>
        <w:t>Art. III</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39" w:name="do|arIII|pa1"/>
      <w:bookmarkEnd w:id="39"/>
      <w:r w:rsidRPr="00D475AC">
        <w:rPr>
          <w:rFonts w:ascii="Verdana" w:eastAsia="Times New Roman" w:hAnsi="Verdana" w:cs="Times New Roman"/>
        </w:rPr>
        <w:t>Direcţia generală învăţământ preuniversitar, Direcţia generală minorităţi şi relaţia cu Parlamentul, Centrul Naţional de Dezvoltare a Învăţământului Profesional şi Tehnic, inspectoratele şcolare judeţene/al municipiului Bucureşti şi unităţile de învăţământ preuniversitar duc la îndeplinire prevederile prezentului ordin.</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40" w:name="do|arIV"/>
      <w:r w:rsidRPr="00D475AC">
        <w:rPr>
          <w:rFonts w:ascii="Verdana" w:eastAsia="Times New Roman" w:hAnsi="Verdana" w:cs="Times New Roman"/>
          <w:b/>
          <w:bCs/>
          <w:noProof/>
          <w:color w:val="333399"/>
        </w:rPr>
        <w:drawing>
          <wp:inline distT="0" distB="0" distL="0" distR="0" wp14:anchorId="2866728B" wp14:editId="7D44FA96">
            <wp:extent cx="95250" cy="95250"/>
            <wp:effectExtent l="0" t="0" r="0" b="0"/>
            <wp:docPr id="12" name="do|arIV|_i" descr="C:\Users\Secretariat\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_i" descr="C:\Users\Secretariat\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
      <w:r w:rsidRPr="00D475AC">
        <w:rPr>
          <w:rFonts w:ascii="Verdana" w:eastAsia="Times New Roman" w:hAnsi="Verdana" w:cs="Times New Roman"/>
          <w:b/>
          <w:bCs/>
          <w:color w:val="0000AF"/>
        </w:rPr>
        <w:t>Art. IV</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41" w:name="do|arIV|pa1"/>
      <w:bookmarkEnd w:id="41"/>
      <w:r w:rsidRPr="00D475AC">
        <w:rPr>
          <w:rFonts w:ascii="Verdana" w:eastAsia="Times New Roman" w:hAnsi="Verdana" w:cs="Times New Roman"/>
        </w:rPr>
        <w:t>Prezentul ordin se publică în Monitorul Oficial al României, Partea I.</w:t>
      </w:r>
    </w:p>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42" w:name="do|pa8"/>
      <w:bookmarkEnd w:id="42"/>
      <w:r w:rsidRPr="00D475AC">
        <w:rPr>
          <w:rFonts w:ascii="Verdana" w:eastAsia="Times New Roman" w:hAnsi="Verdana" w:cs="Times New Roman"/>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D475AC" w:rsidRPr="00D475AC" w:rsidTr="00D475AC">
        <w:trPr>
          <w:trHeight w:val="15"/>
          <w:tblCellSpacing w:w="0" w:type="dxa"/>
          <w:jc w:val="center"/>
        </w:trPr>
        <w:tc>
          <w:tcPr>
            <w:tcW w:w="0" w:type="auto"/>
            <w:hideMark/>
          </w:tcPr>
          <w:p w:rsidR="00D475AC" w:rsidRPr="00D475AC" w:rsidRDefault="00D475AC" w:rsidP="00D475AC">
            <w:pPr>
              <w:spacing w:after="0" w:line="240" w:lineRule="auto"/>
              <w:jc w:val="center"/>
              <w:rPr>
                <w:rFonts w:ascii="Verdana" w:eastAsia="Times New Roman" w:hAnsi="Verdana" w:cs="Times New Roman"/>
                <w:color w:val="000000"/>
                <w:sz w:val="16"/>
                <w:szCs w:val="16"/>
              </w:rPr>
            </w:pPr>
            <w:bookmarkStart w:id="43" w:name="do|pa9"/>
            <w:bookmarkEnd w:id="43"/>
            <w:r w:rsidRPr="00D475AC">
              <w:rPr>
                <w:rFonts w:ascii="Verdana" w:eastAsia="Times New Roman" w:hAnsi="Verdana" w:cs="Times New Roman"/>
                <w:color w:val="000000"/>
                <w:sz w:val="16"/>
                <w:szCs w:val="16"/>
              </w:rPr>
              <w:t>Ministrul educaţiei şi cercetării,</w:t>
            </w:r>
          </w:p>
          <w:p w:rsidR="00D475AC" w:rsidRPr="00D475AC" w:rsidRDefault="00D475AC" w:rsidP="00D475AC">
            <w:pPr>
              <w:spacing w:after="0" w:line="15" w:lineRule="atLeast"/>
              <w:jc w:val="center"/>
              <w:rPr>
                <w:rFonts w:ascii="Verdana" w:eastAsia="Times New Roman" w:hAnsi="Verdana" w:cs="Times New Roman"/>
                <w:color w:val="000000"/>
                <w:sz w:val="16"/>
                <w:szCs w:val="16"/>
              </w:rPr>
            </w:pPr>
            <w:r w:rsidRPr="00D475AC">
              <w:rPr>
                <w:rFonts w:ascii="Verdana" w:eastAsia="Times New Roman" w:hAnsi="Verdana" w:cs="Times New Roman"/>
                <w:b/>
                <w:bCs/>
                <w:color w:val="000000"/>
                <w:sz w:val="16"/>
                <w:szCs w:val="16"/>
              </w:rPr>
              <w:t>Cristina Monica Anisie</w:t>
            </w:r>
          </w:p>
        </w:tc>
      </w:tr>
    </w:tbl>
    <w:p w:rsidR="00D475AC" w:rsidRPr="00D475AC" w:rsidRDefault="00D475AC" w:rsidP="00D475AC">
      <w:pPr>
        <w:shd w:val="clear" w:color="auto" w:fill="FFFFFF"/>
        <w:spacing w:after="0" w:line="240" w:lineRule="auto"/>
        <w:jc w:val="both"/>
        <w:rPr>
          <w:rFonts w:ascii="Verdana" w:eastAsia="Times New Roman" w:hAnsi="Verdana" w:cs="Times New Roman"/>
        </w:rPr>
      </w:pPr>
      <w:bookmarkStart w:id="44" w:name="do|pa10"/>
      <w:bookmarkEnd w:id="44"/>
      <w:r w:rsidRPr="00D475AC">
        <w:rPr>
          <w:rFonts w:ascii="Verdana" w:eastAsia="Times New Roman" w:hAnsi="Verdana" w:cs="Times New Roman"/>
        </w:rPr>
        <w:t>Publicat în Monitorul Oficial cu numărul 440 din data de 26 mai 2020</w:t>
      </w:r>
    </w:p>
    <w:p w:rsidR="00BB3DE1" w:rsidRDefault="00BB3DE1">
      <w:bookmarkStart w:id="45" w:name="_GoBack"/>
      <w:bookmarkEnd w:id="45"/>
    </w:p>
    <w:sectPr w:rsidR="00BB3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AC"/>
    <w:rsid w:val="00BB3DE1"/>
    <w:rsid w:val="00D4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27576">
      <w:bodyDiv w:val="1"/>
      <w:marLeft w:val="0"/>
      <w:marRight w:val="0"/>
      <w:marTop w:val="0"/>
      <w:marBottom w:val="0"/>
      <w:divBdr>
        <w:top w:val="none" w:sz="0" w:space="0" w:color="auto"/>
        <w:left w:val="none" w:sz="0" w:space="0" w:color="auto"/>
        <w:bottom w:val="none" w:sz="0" w:space="0" w:color="auto"/>
        <w:right w:val="none" w:sz="0" w:space="0" w:color="auto"/>
      </w:divBdr>
      <w:divsChild>
        <w:div w:id="559948656">
          <w:marLeft w:val="0"/>
          <w:marRight w:val="0"/>
          <w:marTop w:val="0"/>
          <w:marBottom w:val="0"/>
          <w:divBdr>
            <w:top w:val="none" w:sz="0" w:space="0" w:color="auto"/>
            <w:left w:val="none" w:sz="0" w:space="0" w:color="auto"/>
            <w:bottom w:val="none" w:sz="0" w:space="0" w:color="auto"/>
            <w:right w:val="none" w:sz="0" w:space="0" w:color="auto"/>
          </w:divBdr>
          <w:divsChild>
            <w:div w:id="600337900">
              <w:marLeft w:val="0"/>
              <w:marRight w:val="0"/>
              <w:marTop w:val="0"/>
              <w:marBottom w:val="0"/>
              <w:divBdr>
                <w:top w:val="dashed" w:sz="2" w:space="0" w:color="FFFFFF"/>
                <w:left w:val="dashed" w:sz="2" w:space="0" w:color="FFFFFF"/>
                <w:bottom w:val="dashed" w:sz="2" w:space="0" w:color="FFFFFF"/>
                <w:right w:val="dashed" w:sz="2" w:space="0" w:color="FFFFFF"/>
              </w:divBdr>
            </w:div>
            <w:div w:id="77555810">
              <w:marLeft w:val="0"/>
              <w:marRight w:val="0"/>
              <w:marTop w:val="0"/>
              <w:marBottom w:val="0"/>
              <w:divBdr>
                <w:top w:val="dashed" w:sz="2" w:space="0" w:color="FFFFFF"/>
                <w:left w:val="dashed" w:sz="2" w:space="0" w:color="FFFFFF"/>
                <w:bottom w:val="dashed" w:sz="2" w:space="0" w:color="FFFFFF"/>
                <w:right w:val="dashed" w:sz="2" w:space="0" w:color="FFFFFF"/>
              </w:divBdr>
              <w:divsChild>
                <w:div w:id="543718221">
                  <w:marLeft w:val="0"/>
                  <w:marRight w:val="0"/>
                  <w:marTop w:val="0"/>
                  <w:marBottom w:val="0"/>
                  <w:divBdr>
                    <w:top w:val="dashed" w:sz="2" w:space="0" w:color="FFFFFF"/>
                    <w:left w:val="dashed" w:sz="2" w:space="0" w:color="FFFFFF"/>
                    <w:bottom w:val="dashed" w:sz="2" w:space="0" w:color="FFFFFF"/>
                    <w:right w:val="dashed" w:sz="2" w:space="0" w:color="FFFFFF"/>
                  </w:divBdr>
                </w:div>
                <w:div w:id="2006321604">
                  <w:marLeft w:val="0"/>
                  <w:marRight w:val="0"/>
                  <w:marTop w:val="0"/>
                  <w:marBottom w:val="0"/>
                  <w:divBdr>
                    <w:top w:val="dashed" w:sz="2" w:space="0" w:color="FFFFFF"/>
                    <w:left w:val="dashed" w:sz="2" w:space="0" w:color="FFFFFF"/>
                    <w:bottom w:val="dashed" w:sz="2" w:space="0" w:color="FFFFFF"/>
                    <w:right w:val="dashed" w:sz="2" w:space="0" w:color="FFFFFF"/>
                  </w:divBdr>
                </w:div>
                <w:div w:id="869803952">
                  <w:marLeft w:val="0"/>
                  <w:marRight w:val="0"/>
                  <w:marTop w:val="0"/>
                  <w:marBottom w:val="0"/>
                  <w:divBdr>
                    <w:top w:val="dashed" w:sz="2" w:space="0" w:color="FFFFFF"/>
                    <w:left w:val="dashed" w:sz="2" w:space="0" w:color="FFFFFF"/>
                    <w:bottom w:val="dashed" w:sz="2" w:space="0" w:color="FFFFFF"/>
                    <w:right w:val="dashed" w:sz="2" w:space="0" w:color="FFFFFF"/>
                  </w:divBdr>
                </w:div>
                <w:div w:id="626358126">
                  <w:marLeft w:val="0"/>
                  <w:marRight w:val="0"/>
                  <w:marTop w:val="0"/>
                  <w:marBottom w:val="0"/>
                  <w:divBdr>
                    <w:top w:val="dashed" w:sz="2" w:space="0" w:color="FFFFFF"/>
                    <w:left w:val="dashed" w:sz="2" w:space="0" w:color="FFFFFF"/>
                    <w:bottom w:val="dashed" w:sz="2" w:space="0" w:color="FFFFFF"/>
                    <w:right w:val="dashed" w:sz="2" w:space="0" w:color="FFFFFF"/>
                  </w:divBdr>
                </w:div>
                <w:div w:id="1850825097">
                  <w:marLeft w:val="0"/>
                  <w:marRight w:val="0"/>
                  <w:marTop w:val="0"/>
                  <w:marBottom w:val="0"/>
                  <w:divBdr>
                    <w:top w:val="dashed" w:sz="2" w:space="0" w:color="FFFFFF"/>
                    <w:left w:val="dashed" w:sz="2" w:space="0" w:color="FFFFFF"/>
                    <w:bottom w:val="dashed" w:sz="2" w:space="0" w:color="FFFFFF"/>
                    <w:right w:val="dashed" w:sz="2" w:space="0" w:color="FFFFFF"/>
                  </w:divBdr>
                </w:div>
                <w:div w:id="109714173">
                  <w:marLeft w:val="0"/>
                  <w:marRight w:val="0"/>
                  <w:marTop w:val="0"/>
                  <w:marBottom w:val="0"/>
                  <w:divBdr>
                    <w:top w:val="dashed" w:sz="2" w:space="0" w:color="FFFFFF"/>
                    <w:left w:val="dashed" w:sz="2" w:space="0" w:color="FFFFFF"/>
                    <w:bottom w:val="dashed" w:sz="2" w:space="0" w:color="FFFFFF"/>
                    <w:right w:val="dashed" w:sz="2" w:space="0" w:color="FFFFFF"/>
                  </w:divBdr>
                </w:div>
                <w:div w:id="1642887021">
                  <w:marLeft w:val="0"/>
                  <w:marRight w:val="0"/>
                  <w:marTop w:val="0"/>
                  <w:marBottom w:val="0"/>
                  <w:divBdr>
                    <w:top w:val="dashed" w:sz="2" w:space="0" w:color="FFFFFF"/>
                    <w:left w:val="dashed" w:sz="2" w:space="0" w:color="FFFFFF"/>
                    <w:bottom w:val="dashed" w:sz="2" w:space="0" w:color="FFFFFF"/>
                    <w:right w:val="dashed" w:sz="2" w:space="0" w:color="FFFFFF"/>
                  </w:divBdr>
                </w:div>
                <w:div w:id="1131483818">
                  <w:marLeft w:val="0"/>
                  <w:marRight w:val="0"/>
                  <w:marTop w:val="0"/>
                  <w:marBottom w:val="0"/>
                  <w:divBdr>
                    <w:top w:val="dashed" w:sz="2" w:space="0" w:color="FFFFFF"/>
                    <w:left w:val="dashed" w:sz="2" w:space="0" w:color="FFFFFF"/>
                    <w:bottom w:val="dashed" w:sz="2" w:space="0" w:color="FFFFFF"/>
                    <w:right w:val="dashed" w:sz="2" w:space="0" w:color="FFFFFF"/>
                  </w:divBdr>
                </w:div>
                <w:div w:id="905383803">
                  <w:marLeft w:val="0"/>
                  <w:marRight w:val="0"/>
                  <w:marTop w:val="0"/>
                  <w:marBottom w:val="0"/>
                  <w:divBdr>
                    <w:top w:val="dashed" w:sz="2" w:space="0" w:color="FFFFFF"/>
                    <w:left w:val="dashed" w:sz="2" w:space="0" w:color="FFFFFF"/>
                    <w:bottom w:val="dashed" w:sz="2" w:space="0" w:color="FFFFFF"/>
                    <w:right w:val="dashed" w:sz="2" w:space="0" w:color="FFFFFF"/>
                  </w:divBdr>
                  <w:divsChild>
                    <w:div w:id="417674629">
                      <w:marLeft w:val="0"/>
                      <w:marRight w:val="0"/>
                      <w:marTop w:val="0"/>
                      <w:marBottom w:val="0"/>
                      <w:divBdr>
                        <w:top w:val="dashed" w:sz="2" w:space="0" w:color="FFFFFF"/>
                        <w:left w:val="dashed" w:sz="2" w:space="0" w:color="FFFFFF"/>
                        <w:bottom w:val="dashed" w:sz="2" w:space="0" w:color="FFFFFF"/>
                        <w:right w:val="dashed" w:sz="2" w:space="0" w:color="FFFFFF"/>
                      </w:divBdr>
                    </w:div>
                    <w:div w:id="1001469090">
                      <w:marLeft w:val="0"/>
                      <w:marRight w:val="0"/>
                      <w:marTop w:val="0"/>
                      <w:marBottom w:val="0"/>
                      <w:divBdr>
                        <w:top w:val="dashed" w:sz="2" w:space="0" w:color="FFFFFF"/>
                        <w:left w:val="dashed" w:sz="2" w:space="0" w:color="FFFFFF"/>
                        <w:bottom w:val="dashed" w:sz="2" w:space="0" w:color="FFFFFF"/>
                        <w:right w:val="dashed" w:sz="2" w:space="0" w:color="FFFFFF"/>
                      </w:divBdr>
                    </w:div>
                    <w:div w:id="4598900">
                      <w:marLeft w:val="0"/>
                      <w:marRight w:val="0"/>
                      <w:marTop w:val="0"/>
                      <w:marBottom w:val="0"/>
                      <w:divBdr>
                        <w:top w:val="dashed" w:sz="2" w:space="0" w:color="FFFFFF"/>
                        <w:left w:val="dashed" w:sz="2" w:space="0" w:color="FFFFFF"/>
                        <w:bottom w:val="dashed" w:sz="2" w:space="0" w:color="FFFFFF"/>
                        <w:right w:val="dashed" w:sz="2" w:space="0" w:color="FFFFFF"/>
                      </w:divBdr>
                      <w:divsChild>
                        <w:div w:id="1121192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2872252">
                      <w:marLeft w:val="0"/>
                      <w:marRight w:val="0"/>
                      <w:marTop w:val="0"/>
                      <w:marBottom w:val="0"/>
                      <w:divBdr>
                        <w:top w:val="dashed" w:sz="2" w:space="0" w:color="FFFFFF"/>
                        <w:left w:val="dashed" w:sz="2" w:space="0" w:color="FFFFFF"/>
                        <w:bottom w:val="dashed" w:sz="2" w:space="0" w:color="FFFFFF"/>
                        <w:right w:val="dashed" w:sz="2" w:space="0" w:color="FFFFFF"/>
                      </w:divBdr>
                    </w:div>
                    <w:div w:id="665743083">
                      <w:marLeft w:val="0"/>
                      <w:marRight w:val="0"/>
                      <w:marTop w:val="0"/>
                      <w:marBottom w:val="0"/>
                      <w:divBdr>
                        <w:top w:val="dashed" w:sz="2" w:space="0" w:color="FFFFFF"/>
                        <w:left w:val="dashed" w:sz="2" w:space="0" w:color="FFFFFF"/>
                        <w:bottom w:val="dashed" w:sz="2" w:space="0" w:color="FFFFFF"/>
                        <w:right w:val="dashed" w:sz="2" w:space="0" w:color="FFFFFF"/>
                      </w:divBdr>
                      <w:divsChild>
                        <w:div w:id="4064188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7625487">
                      <w:marLeft w:val="0"/>
                      <w:marRight w:val="0"/>
                      <w:marTop w:val="0"/>
                      <w:marBottom w:val="0"/>
                      <w:divBdr>
                        <w:top w:val="dashed" w:sz="2" w:space="0" w:color="FFFFFF"/>
                        <w:left w:val="dashed" w:sz="2" w:space="0" w:color="FFFFFF"/>
                        <w:bottom w:val="dashed" w:sz="2" w:space="0" w:color="FFFFFF"/>
                        <w:right w:val="dashed" w:sz="2" w:space="0" w:color="FFFFFF"/>
                      </w:divBdr>
                    </w:div>
                    <w:div w:id="643513119">
                      <w:marLeft w:val="0"/>
                      <w:marRight w:val="0"/>
                      <w:marTop w:val="0"/>
                      <w:marBottom w:val="0"/>
                      <w:divBdr>
                        <w:top w:val="dashed" w:sz="2" w:space="0" w:color="FFFFFF"/>
                        <w:left w:val="dashed" w:sz="2" w:space="0" w:color="FFFFFF"/>
                        <w:bottom w:val="dashed" w:sz="2" w:space="0" w:color="FFFFFF"/>
                        <w:right w:val="dashed" w:sz="2" w:space="0" w:color="FFFFFF"/>
                      </w:divBdr>
                      <w:divsChild>
                        <w:div w:id="837574476">
                          <w:marLeft w:val="0"/>
                          <w:marRight w:val="0"/>
                          <w:marTop w:val="0"/>
                          <w:marBottom w:val="0"/>
                          <w:divBdr>
                            <w:top w:val="dashed" w:sz="2" w:space="0" w:color="FFFFFF"/>
                            <w:left w:val="dashed" w:sz="2" w:space="0" w:color="FFFFFF"/>
                            <w:bottom w:val="dashed" w:sz="2" w:space="0" w:color="FFFFFF"/>
                            <w:right w:val="dashed" w:sz="2" w:space="0" w:color="FFFFFF"/>
                          </w:divBdr>
                        </w:div>
                        <w:div w:id="2095320917">
                          <w:marLeft w:val="0"/>
                          <w:marRight w:val="0"/>
                          <w:marTop w:val="0"/>
                          <w:marBottom w:val="0"/>
                          <w:divBdr>
                            <w:top w:val="dashed" w:sz="2" w:space="0" w:color="FFFFFF"/>
                            <w:left w:val="dashed" w:sz="2" w:space="0" w:color="FFFFFF"/>
                            <w:bottom w:val="dashed" w:sz="2" w:space="0" w:color="FFFFFF"/>
                            <w:right w:val="dashed" w:sz="2" w:space="0" w:color="FFFFFF"/>
                          </w:divBdr>
                        </w:div>
                        <w:div w:id="718670233">
                          <w:marLeft w:val="0"/>
                          <w:marRight w:val="0"/>
                          <w:marTop w:val="0"/>
                          <w:marBottom w:val="0"/>
                          <w:divBdr>
                            <w:top w:val="dashed" w:sz="2" w:space="0" w:color="FFFFFF"/>
                            <w:left w:val="dashed" w:sz="2" w:space="0" w:color="FFFFFF"/>
                            <w:bottom w:val="dashed" w:sz="2" w:space="0" w:color="FFFFFF"/>
                            <w:right w:val="dashed" w:sz="2" w:space="0" w:color="FFFFFF"/>
                          </w:divBdr>
                        </w:div>
                        <w:div w:id="1099302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3857732">
                      <w:marLeft w:val="0"/>
                      <w:marRight w:val="0"/>
                      <w:marTop w:val="0"/>
                      <w:marBottom w:val="0"/>
                      <w:divBdr>
                        <w:top w:val="dashed" w:sz="2" w:space="0" w:color="FFFFFF"/>
                        <w:left w:val="dashed" w:sz="2" w:space="0" w:color="FFFFFF"/>
                        <w:bottom w:val="dashed" w:sz="2" w:space="0" w:color="FFFFFF"/>
                        <w:right w:val="dashed" w:sz="2" w:space="0" w:color="FFFFFF"/>
                      </w:divBdr>
                    </w:div>
                    <w:div w:id="814418819">
                      <w:marLeft w:val="0"/>
                      <w:marRight w:val="0"/>
                      <w:marTop w:val="0"/>
                      <w:marBottom w:val="0"/>
                      <w:divBdr>
                        <w:top w:val="dashed" w:sz="2" w:space="0" w:color="FFFFFF"/>
                        <w:left w:val="dashed" w:sz="2" w:space="0" w:color="FFFFFF"/>
                        <w:bottom w:val="dashed" w:sz="2" w:space="0" w:color="FFFFFF"/>
                        <w:right w:val="dashed" w:sz="2" w:space="0" w:color="FFFFFF"/>
                      </w:divBdr>
                      <w:divsChild>
                        <w:div w:id="1026827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8249273">
                      <w:marLeft w:val="0"/>
                      <w:marRight w:val="0"/>
                      <w:marTop w:val="0"/>
                      <w:marBottom w:val="0"/>
                      <w:divBdr>
                        <w:top w:val="dashed" w:sz="2" w:space="0" w:color="FFFFFF"/>
                        <w:left w:val="dashed" w:sz="2" w:space="0" w:color="FFFFFF"/>
                        <w:bottom w:val="dashed" w:sz="2" w:space="0" w:color="FFFFFF"/>
                        <w:right w:val="dashed" w:sz="2" w:space="0" w:color="FFFFFF"/>
                      </w:divBdr>
                    </w:div>
                    <w:div w:id="932277154">
                      <w:marLeft w:val="0"/>
                      <w:marRight w:val="0"/>
                      <w:marTop w:val="0"/>
                      <w:marBottom w:val="0"/>
                      <w:divBdr>
                        <w:top w:val="dashed" w:sz="2" w:space="0" w:color="FFFFFF"/>
                        <w:left w:val="dashed" w:sz="2" w:space="0" w:color="FFFFFF"/>
                        <w:bottom w:val="dashed" w:sz="2" w:space="0" w:color="FFFFFF"/>
                        <w:right w:val="dashed" w:sz="2" w:space="0" w:color="FFFFFF"/>
                      </w:divBdr>
                      <w:divsChild>
                        <w:div w:id="428546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9977295">
                      <w:marLeft w:val="0"/>
                      <w:marRight w:val="0"/>
                      <w:marTop w:val="0"/>
                      <w:marBottom w:val="0"/>
                      <w:divBdr>
                        <w:top w:val="dashed" w:sz="2" w:space="0" w:color="FFFFFF"/>
                        <w:left w:val="dashed" w:sz="2" w:space="0" w:color="FFFFFF"/>
                        <w:bottom w:val="dashed" w:sz="2" w:space="0" w:color="FFFFFF"/>
                        <w:right w:val="dashed" w:sz="2" w:space="0" w:color="FFFFFF"/>
                      </w:divBdr>
                    </w:div>
                    <w:div w:id="1801068394">
                      <w:marLeft w:val="0"/>
                      <w:marRight w:val="0"/>
                      <w:marTop w:val="0"/>
                      <w:marBottom w:val="0"/>
                      <w:divBdr>
                        <w:top w:val="dashed" w:sz="2" w:space="0" w:color="FFFFFF"/>
                        <w:left w:val="dashed" w:sz="2" w:space="0" w:color="FFFFFF"/>
                        <w:bottom w:val="dashed" w:sz="2" w:space="0" w:color="FFFFFF"/>
                        <w:right w:val="dashed" w:sz="2" w:space="0" w:color="FFFFFF"/>
                      </w:divBdr>
                      <w:divsChild>
                        <w:div w:id="1734082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1749136">
                      <w:marLeft w:val="0"/>
                      <w:marRight w:val="0"/>
                      <w:marTop w:val="0"/>
                      <w:marBottom w:val="0"/>
                      <w:divBdr>
                        <w:top w:val="dashed" w:sz="2" w:space="0" w:color="FFFFFF"/>
                        <w:left w:val="dashed" w:sz="2" w:space="0" w:color="FFFFFF"/>
                        <w:bottom w:val="dashed" w:sz="2" w:space="0" w:color="FFFFFF"/>
                        <w:right w:val="dashed" w:sz="2" w:space="0" w:color="FFFFFF"/>
                      </w:divBdr>
                    </w:div>
                    <w:div w:id="1083917965">
                      <w:marLeft w:val="0"/>
                      <w:marRight w:val="0"/>
                      <w:marTop w:val="0"/>
                      <w:marBottom w:val="0"/>
                      <w:divBdr>
                        <w:top w:val="dashed" w:sz="2" w:space="0" w:color="FFFFFF"/>
                        <w:left w:val="dashed" w:sz="2" w:space="0" w:color="FFFFFF"/>
                        <w:bottom w:val="dashed" w:sz="2" w:space="0" w:color="FFFFFF"/>
                        <w:right w:val="dashed" w:sz="2" w:space="0" w:color="FFFFFF"/>
                      </w:divBdr>
                      <w:divsChild>
                        <w:div w:id="837235159">
                          <w:marLeft w:val="0"/>
                          <w:marRight w:val="0"/>
                          <w:marTop w:val="0"/>
                          <w:marBottom w:val="0"/>
                          <w:divBdr>
                            <w:top w:val="dashed" w:sz="2" w:space="0" w:color="FFFFFF"/>
                            <w:left w:val="dashed" w:sz="2" w:space="0" w:color="FFFFFF"/>
                            <w:bottom w:val="dashed" w:sz="2" w:space="0" w:color="FFFFFF"/>
                            <w:right w:val="dashed" w:sz="2" w:space="0" w:color="FFFFFF"/>
                          </w:divBdr>
                        </w:div>
                        <w:div w:id="388579556">
                          <w:marLeft w:val="0"/>
                          <w:marRight w:val="0"/>
                          <w:marTop w:val="0"/>
                          <w:marBottom w:val="0"/>
                          <w:divBdr>
                            <w:top w:val="dashed" w:sz="2" w:space="0" w:color="FFFFFF"/>
                            <w:left w:val="dashed" w:sz="2" w:space="0" w:color="FFFFFF"/>
                            <w:bottom w:val="dashed" w:sz="2" w:space="0" w:color="FFFFFF"/>
                            <w:right w:val="dashed" w:sz="2" w:space="0" w:color="FFFFFF"/>
                          </w:divBdr>
                        </w:div>
                        <w:div w:id="2003387607">
                          <w:marLeft w:val="0"/>
                          <w:marRight w:val="0"/>
                          <w:marTop w:val="0"/>
                          <w:marBottom w:val="0"/>
                          <w:divBdr>
                            <w:top w:val="dashed" w:sz="2" w:space="0" w:color="FFFFFF"/>
                            <w:left w:val="dashed" w:sz="2" w:space="0" w:color="FFFFFF"/>
                            <w:bottom w:val="dashed" w:sz="2" w:space="0" w:color="FFFFFF"/>
                            <w:right w:val="dashed" w:sz="2" w:space="0" w:color="FFFFFF"/>
                          </w:divBdr>
                        </w:div>
                        <w:div w:id="69232622">
                          <w:marLeft w:val="0"/>
                          <w:marRight w:val="0"/>
                          <w:marTop w:val="0"/>
                          <w:marBottom w:val="0"/>
                          <w:divBdr>
                            <w:top w:val="dashed" w:sz="2" w:space="0" w:color="FFFFFF"/>
                            <w:left w:val="dashed" w:sz="2" w:space="0" w:color="FFFFFF"/>
                            <w:bottom w:val="dashed" w:sz="2" w:space="0" w:color="FFFFFF"/>
                            <w:right w:val="dashed" w:sz="2" w:space="0" w:color="FFFFFF"/>
                          </w:divBdr>
                        </w:div>
                        <w:div w:id="1064109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6343346">
                      <w:marLeft w:val="0"/>
                      <w:marRight w:val="0"/>
                      <w:marTop w:val="0"/>
                      <w:marBottom w:val="0"/>
                      <w:divBdr>
                        <w:top w:val="dashed" w:sz="2" w:space="0" w:color="FFFFFF"/>
                        <w:left w:val="dashed" w:sz="2" w:space="0" w:color="FFFFFF"/>
                        <w:bottom w:val="dashed" w:sz="2" w:space="0" w:color="FFFFFF"/>
                        <w:right w:val="dashed" w:sz="2" w:space="0" w:color="FFFFFF"/>
                      </w:divBdr>
                    </w:div>
                    <w:div w:id="1863475395">
                      <w:marLeft w:val="0"/>
                      <w:marRight w:val="0"/>
                      <w:marTop w:val="0"/>
                      <w:marBottom w:val="0"/>
                      <w:divBdr>
                        <w:top w:val="dashed" w:sz="2" w:space="0" w:color="FFFFFF"/>
                        <w:left w:val="dashed" w:sz="2" w:space="0" w:color="FFFFFF"/>
                        <w:bottom w:val="dashed" w:sz="2" w:space="0" w:color="FFFFFF"/>
                        <w:right w:val="dashed" w:sz="2" w:space="0" w:color="FFFFFF"/>
                      </w:divBdr>
                      <w:divsChild>
                        <w:div w:id="1122380902">
                          <w:marLeft w:val="0"/>
                          <w:marRight w:val="0"/>
                          <w:marTop w:val="0"/>
                          <w:marBottom w:val="0"/>
                          <w:divBdr>
                            <w:top w:val="dashed" w:sz="2" w:space="0" w:color="FFFFFF"/>
                            <w:left w:val="dashed" w:sz="2" w:space="0" w:color="FFFFFF"/>
                            <w:bottom w:val="dashed" w:sz="2" w:space="0" w:color="FFFFFF"/>
                            <w:right w:val="dashed" w:sz="2" w:space="0" w:color="FFFFFF"/>
                          </w:divBdr>
                        </w:div>
                        <w:div w:id="1770462996">
                          <w:marLeft w:val="0"/>
                          <w:marRight w:val="0"/>
                          <w:marTop w:val="0"/>
                          <w:marBottom w:val="0"/>
                          <w:divBdr>
                            <w:top w:val="dashed" w:sz="2" w:space="0" w:color="FFFFFF"/>
                            <w:left w:val="dashed" w:sz="2" w:space="0" w:color="FFFFFF"/>
                            <w:bottom w:val="dashed" w:sz="2" w:space="0" w:color="FFFFFF"/>
                            <w:right w:val="dashed" w:sz="2" w:space="0" w:color="FFFFFF"/>
                          </w:divBdr>
                        </w:div>
                        <w:div w:id="1335954106">
                          <w:marLeft w:val="0"/>
                          <w:marRight w:val="0"/>
                          <w:marTop w:val="0"/>
                          <w:marBottom w:val="0"/>
                          <w:divBdr>
                            <w:top w:val="dashed" w:sz="2" w:space="0" w:color="FFFFFF"/>
                            <w:left w:val="dashed" w:sz="2" w:space="0" w:color="FFFFFF"/>
                            <w:bottom w:val="dashed" w:sz="2" w:space="0" w:color="FFFFFF"/>
                            <w:right w:val="dashed" w:sz="2" w:space="0" w:color="FFFFFF"/>
                          </w:divBdr>
                        </w:div>
                        <w:div w:id="307900869">
                          <w:marLeft w:val="0"/>
                          <w:marRight w:val="0"/>
                          <w:marTop w:val="0"/>
                          <w:marBottom w:val="0"/>
                          <w:divBdr>
                            <w:top w:val="dashed" w:sz="2" w:space="0" w:color="FFFFFF"/>
                            <w:left w:val="dashed" w:sz="2" w:space="0" w:color="FFFFFF"/>
                            <w:bottom w:val="dashed" w:sz="2" w:space="0" w:color="FFFFFF"/>
                            <w:right w:val="dashed" w:sz="2" w:space="0" w:color="FFFFFF"/>
                          </w:divBdr>
                        </w:div>
                        <w:div w:id="1699811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47265891">
                  <w:marLeft w:val="0"/>
                  <w:marRight w:val="0"/>
                  <w:marTop w:val="0"/>
                  <w:marBottom w:val="0"/>
                  <w:divBdr>
                    <w:top w:val="dashed" w:sz="2" w:space="0" w:color="FFFFFF"/>
                    <w:left w:val="dashed" w:sz="2" w:space="0" w:color="FFFFFF"/>
                    <w:bottom w:val="dashed" w:sz="2" w:space="0" w:color="FFFFFF"/>
                    <w:right w:val="dashed" w:sz="2" w:space="0" w:color="FFFFFF"/>
                  </w:divBdr>
                </w:div>
                <w:div w:id="54742599">
                  <w:marLeft w:val="0"/>
                  <w:marRight w:val="0"/>
                  <w:marTop w:val="0"/>
                  <w:marBottom w:val="0"/>
                  <w:divBdr>
                    <w:top w:val="dashed" w:sz="2" w:space="0" w:color="FFFFFF"/>
                    <w:left w:val="dashed" w:sz="2" w:space="0" w:color="FFFFFF"/>
                    <w:bottom w:val="dashed" w:sz="2" w:space="0" w:color="FFFFFF"/>
                    <w:right w:val="dashed" w:sz="2" w:space="0" w:color="FFFFFF"/>
                  </w:divBdr>
                  <w:divsChild>
                    <w:div w:id="1400901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0750000">
                  <w:marLeft w:val="0"/>
                  <w:marRight w:val="0"/>
                  <w:marTop w:val="0"/>
                  <w:marBottom w:val="0"/>
                  <w:divBdr>
                    <w:top w:val="dashed" w:sz="2" w:space="0" w:color="FFFFFF"/>
                    <w:left w:val="dashed" w:sz="2" w:space="0" w:color="FFFFFF"/>
                    <w:bottom w:val="dashed" w:sz="2" w:space="0" w:color="FFFFFF"/>
                    <w:right w:val="dashed" w:sz="2" w:space="0" w:color="FFFFFF"/>
                  </w:divBdr>
                </w:div>
                <w:div w:id="98186399">
                  <w:marLeft w:val="0"/>
                  <w:marRight w:val="0"/>
                  <w:marTop w:val="0"/>
                  <w:marBottom w:val="0"/>
                  <w:divBdr>
                    <w:top w:val="dashed" w:sz="2" w:space="0" w:color="FFFFFF"/>
                    <w:left w:val="dashed" w:sz="2" w:space="0" w:color="FFFFFF"/>
                    <w:bottom w:val="dashed" w:sz="2" w:space="0" w:color="FFFFFF"/>
                    <w:right w:val="dashed" w:sz="2" w:space="0" w:color="FFFFFF"/>
                  </w:divBdr>
                  <w:divsChild>
                    <w:div w:id="6827071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8560243">
                  <w:marLeft w:val="0"/>
                  <w:marRight w:val="0"/>
                  <w:marTop w:val="0"/>
                  <w:marBottom w:val="0"/>
                  <w:divBdr>
                    <w:top w:val="dashed" w:sz="2" w:space="0" w:color="FFFFFF"/>
                    <w:left w:val="dashed" w:sz="2" w:space="0" w:color="FFFFFF"/>
                    <w:bottom w:val="dashed" w:sz="2" w:space="0" w:color="FFFFFF"/>
                    <w:right w:val="dashed" w:sz="2" w:space="0" w:color="FFFFFF"/>
                  </w:divBdr>
                </w:div>
                <w:div w:id="1602372777">
                  <w:marLeft w:val="0"/>
                  <w:marRight w:val="0"/>
                  <w:marTop w:val="0"/>
                  <w:marBottom w:val="0"/>
                  <w:divBdr>
                    <w:top w:val="dashed" w:sz="2" w:space="0" w:color="FFFFFF"/>
                    <w:left w:val="dashed" w:sz="2" w:space="0" w:color="FFFFFF"/>
                    <w:bottom w:val="dashed" w:sz="2" w:space="0" w:color="FFFFFF"/>
                    <w:right w:val="dashed" w:sz="2" w:space="0" w:color="FFFFFF"/>
                  </w:divBdr>
                  <w:divsChild>
                    <w:div w:id="1108160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021836">
                  <w:marLeft w:val="0"/>
                  <w:marRight w:val="0"/>
                  <w:marTop w:val="0"/>
                  <w:marBottom w:val="0"/>
                  <w:divBdr>
                    <w:top w:val="dashed" w:sz="2" w:space="0" w:color="FFFFFF"/>
                    <w:left w:val="dashed" w:sz="2" w:space="0" w:color="FFFFFF"/>
                    <w:bottom w:val="dashed" w:sz="2" w:space="0" w:color="FFFFFF"/>
                    <w:right w:val="dashed" w:sz="2" w:space="0" w:color="FFFFFF"/>
                  </w:divBdr>
                </w:div>
                <w:div w:id="1895852094">
                  <w:marLeft w:val="0"/>
                  <w:marRight w:val="0"/>
                  <w:marTop w:val="0"/>
                  <w:marBottom w:val="0"/>
                  <w:divBdr>
                    <w:top w:val="dashed" w:sz="2" w:space="0" w:color="FFFFFF"/>
                    <w:left w:val="dashed" w:sz="2" w:space="0" w:color="FFFFFF"/>
                    <w:bottom w:val="dashed" w:sz="2" w:space="0" w:color="FFFFFF"/>
                    <w:right w:val="dashed" w:sz="2" w:space="0" w:color="FFFFFF"/>
                  </w:divBdr>
                </w:div>
                <w:div w:id="1067530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cretariat\sintact%204.0\cache\Legislatie\temp592528\00209525.htm" TargetMode="External"/><Relationship Id="rId13" Type="http://schemas.openxmlformats.org/officeDocument/2006/relationships/hyperlink" Target="file:///C:\Users\Secretariat\sintact%204.0\cache\Legislatie\temp592528\00209736.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Secretariat\sintact%204.0\cache\Legislatie\temp592528\00209451.htm" TargetMode="External"/><Relationship Id="rId12" Type="http://schemas.openxmlformats.org/officeDocument/2006/relationships/hyperlink" Target="file:///C:\Users\Secretariat\sintact%204.0\cache\Legislatie\temp592528\00207173.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Secretariat\sintact%204.0\cache\Legislatie\temp592528\00181268.htm" TargetMode="External"/><Relationship Id="rId1" Type="http://schemas.openxmlformats.org/officeDocument/2006/relationships/styles" Target="styles.xml"/><Relationship Id="rId6" Type="http://schemas.openxmlformats.org/officeDocument/2006/relationships/hyperlink" Target="file:///C:\Users\Secretariat\sintact%204.0\cache\Legislatie\temp592528\00137318.htm" TargetMode="External"/><Relationship Id="rId11" Type="http://schemas.openxmlformats.org/officeDocument/2006/relationships/hyperlink" Target="file:///C:\Users\Secretariat\sintact%204.0\cache\Legislatie\temp592528\12015837.htm" TargetMode="External"/><Relationship Id="rId5" Type="http://schemas.openxmlformats.org/officeDocument/2006/relationships/hyperlink" Target="file:///C:\Users\Secretariat\sintact%204.0\cache\Legislatie\temp592528\00000000.htm" TargetMode="External"/><Relationship Id="rId15" Type="http://schemas.openxmlformats.org/officeDocument/2006/relationships/hyperlink" Target="file:///C:\Users\Secretariat\sintact%204.0\cache\Legislatie\temp592528\00000000.htm" TargetMode="External"/><Relationship Id="rId10" Type="http://schemas.openxmlformats.org/officeDocument/2006/relationships/hyperlink" Target="file:///C:\Users\Secretariat\sintact%204.0\cache\Legislatie\temp592528\12045068.htm" TargetMode="External"/><Relationship Id="rId4" Type="http://schemas.openxmlformats.org/officeDocument/2006/relationships/webSettings" Target="webSettings.xml"/><Relationship Id="rId9" Type="http://schemas.openxmlformats.org/officeDocument/2006/relationships/hyperlink" Target="file:///C:\Users\Secretariat\sintact%204.0\cache\Legislatie\temp592528\00195147.htm"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2020-05-27T06:23:00Z</dcterms:created>
  <dcterms:modified xsi:type="dcterms:W3CDTF">2020-05-27T06:24:00Z</dcterms:modified>
</cp:coreProperties>
</file>